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AFD0" w14:textId="77777777" w:rsidR="00401403" w:rsidRDefault="00401403"/>
    <w:tbl>
      <w:tblPr>
        <w:tblW w:w="9630" w:type="dxa"/>
        <w:tblInd w:w="45" w:type="dxa"/>
        <w:tblLayout w:type="fixed"/>
        <w:tblCellMar>
          <w:left w:w="45" w:type="dxa"/>
          <w:right w:w="37" w:type="dxa"/>
        </w:tblCellMar>
        <w:tblLook w:val="0000" w:firstRow="0" w:lastRow="0" w:firstColumn="0" w:lastColumn="0" w:noHBand="0" w:noVBand="0"/>
      </w:tblPr>
      <w:tblGrid>
        <w:gridCol w:w="3119"/>
        <w:gridCol w:w="6511"/>
      </w:tblGrid>
      <w:tr w:rsidR="00401403" w14:paraId="0C101DD8" w14:textId="77777777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026F97A8" w14:textId="34124823" w:rsidR="00401403" w:rsidRDefault="00000000">
            <w:pPr>
              <w:pStyle w:val="Normal"/>
            </w:pPr>
            <w:r w:rsidRPr="00351A6A">
              <w:rPr>
                <w:noProof/>
              </w:rPr>
              <w:pict w14:anchorId="7BC906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" o:spid="_x0000_i1025" type="#_x0000_t75" style="width:151.5pt;height:49.5pt;visibility:visible;mso-wrap-style:square">
                  <v:imagedata r:id="rId7" o:title="" croptop="-20f" cropbottom="-20f" cropleft="-7f" cropright="-7f"/>
                </v:shape>
              </w:pict>
            </w:r>
          </w:p>
        </w:tc>
        <w:tc>
          <w:tcPr>
            <w:tcW w:w="651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left w:w="37" w:type="dxa"/>
              <w:right w:w="45" w:type="dxa"/>
            </w:tcMar>
            <w:vAlign w:val="center"/>
          </w:tcPr>
          <w:p w14:paraId="0E19BA63" w14:textId="77777777" w:rsidR="00401403" w:rsidRDefault="003F6B1D">
            <w:pPr>
              <w:pStyle w:val="Normal"/>
              <w:jc w:val="center"/>
              <w:rPr>
                <w:rFonts w:ascii="Microsoft Sans Serif" w:hAnsi="Microsoft Sans Serif" w:cs="Microsoft Sans Serif"/>
                <w:b/>
                <w:bCs/>
                <w:sz w:val="44"/>
                <w:szCs w:val="44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44"/>
                <w:szCs w:val="44"/>
              </w:rPr>
              <w:t>FARMA.CO S.R.L.</w:t>
            </w:r>
          </w:p>
        </w:tc>
      </w:tr>
    </w:tbl>
    <w:p w14:paraId="6155A296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D4B3A65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 w:rsidRPr="00910CE5">
        <w:rPr>
          <w:rFonts w:eastAsia="Times New Roman"/>
          <w:b/>
          <w:bCs/>
          <w:kern w:val="0"/>
          <w:sz w:val="22"/>
          <w:lang w:eastAsia="it-IT"/>
        </w:rPr>
        <w:t>Allegato A</w:t>
      </w:r>
      <w:r>
        <w:rPr>
          <w:rFonts w:eastAsia="Times New Roman"/>
          <w:kern w:val="0"/>
          <w:sz w:val="22"/>
          <w:lang w:eastAsia="it-IT"/>
        </w:rPr>
        <w:t xml:space="preserve"> alla Determinazione dell'Amministratore Unico Nr. 7 del 03/11/2026</w:t>
      </w:r>
    </w:p>
    <w:p w14:paraId="3A0C0FBB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BC44701" w14:textId="77777777" w:rsidR="00401403" w:rsidRDefault="003F6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AVVISO DI SELEZIONE PUBBLICA, PER TITOLI E COLLOQUIO, PER L'ASSUNZIONE A TEMPO INDETERMINATO E PARZIALE (20 ORE SETTIMANALI) DI N. 1 IMPIEGATO AMMINISTRATIVO – LIVELLO 3° CCNL FEDERFARMA</w:t>
      </w:r>
    </w:p>
    <w:p w14:paraId="33E4FBE8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2A0C793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1 – Oggetto</w:t>
      </w:r>
    </w:p>
    <w:p w14:paraId="1D153982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Farma.Co. S.r.l., società In House del Comune di Mirandola, in esecuzione della decisione dell'Assemblea dei soci del 01/10/2026 e della Determinazione dell'Amministratore Unico Nr. 7 del 03/11/2026, indice una selezione pubblica, per titoli e colloquio, per l'assunzione a tempo indeterminato e parziale (20 ore settimanali) di n. 1 impiegato/a amministrativo/a, livello 3° CCNL Federfarma, con sede di lavoro presso la farmacia comunale di Mirandola, via Fogazzaro n. 8.</w:t>
      </w:r>
    </w:p>
    <w:p w14:paraId="524BE14E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La selezione si svolge nel rispetto dei principi di trasparenza, pubblicità e imparzialità di cui all'art. 19, comma 2, del D.Lgs. n. 175/2016 e all'art. 35, comma 3, del D.Lgs. n. 165/2001, secondo la Procedura per il reclutamento del personale di Farma.Co. S.r.l. È garantita la parità e pari opportunità tra uomini e donne ai sensi del D.Lgs. n. 198/2006.</w:t>
      </w:r>
    </w:p>
    <w:p w14:paraId="440F4633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1904FCB4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2 – Profilo</w:t>
      </w:r>
    </w:p>
    <w:p w14:paraId="6F5F47A0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La figura supporta la direzione della farmacia nella gestione amministrativa e contabile della Società e nei rapporti con il Comune di Mirandola, socio unico. In particolare si occupa di:</w:t>
      </w:r>
    </w:p>
    <w:p w14:paraId="354BB4D8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gestione amministrativa e contabile (fatture, prima nota, incassi, pagamenti e scadenze, dati per il commercialista);</w:t>
      </w:r>
    </w:p>
    <w:p w14:paraId="346595B7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adempimenti propri di una società a controllo pubblico (report periodici per il Comune, trasparenza, supporto alle procedure di acquisto);</w:t>
      </w:r>
    </w:p>
    <w:p w14:paraId="382D5FC1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rapporti con il Servizio sanitario e con l'Azienda USL per la rendicontazione delle ricette;</w:t>
      </w:r>
    </w:p>
    <w:p w14:paraId="3FBF3386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supporto alla gestione del magazzino e all'attività della farmacia;</w:t>
      </w:r>
    </w:p>
    <w:p w14:paraId="25286F4D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segreteria generale (posta, PEC, archivio, documentazione).</w:t>
      </w:r>
    </w:p>
    <w:p w14:paraId="1B42ABBA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personale assunto è tenuto al rispetto del Codice di comportamento dei dipendenti del Comune di Mirandola, recepito dalla Società.</w:t>
      </w:r>
    </w:p>
    <w:p w14:paraId="67C2AE5F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32A86E5F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3 – Inquadramento, orario e periodo di prova</w:t>
      </w:r>
    </w:p>
    <w:p w14:paraId="029EEFA8" w14:textId="6C78DE76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La figura è inquadrata al livello 3° del CCNL per i dipendenti da farmacie private (Federfarma), con il trattamento economico e normativo da esso previsto, rapportato all'orario a tempo parziale. Ai sensi del D.Lgs. 7 maggio 2026, n. 96, si informa che la retribuzione </w:t>
      </w:r>
      <w:r w:rsidR="00B32D56">
        <w:rPr>
          <w:rFonts w:eastAsia="Times New Roman"/>
          <w:kern w:val="0"/>
          <w:sz w:val="22"/>
          <w:lang w:eastAsia="it-IT"/>
        </w:rPr>
        <w:t>annua</w:t>
      </w:r>
      <w:r>
        <w:rPr>
          <w:rFonts w:eastAsia="Times New Roman"/>
          <w:kern w:val="0"/>
          <w:sz w:val="22"/>
          <w:lang w:eastAsia="it-IT"/>
        </w:rPr>
        <w:t xml:space="preserve"> lorda prevista per la posizione</w:t>
      </w:r>
      <w:r w:rsidR="00B32D56">
        <w:rPr>
          <w:rFonts w:eastAsia="Times New Roman"/>
          <w:kern w:val="0"/>
          <w:sz w:val="22"/>
          <w:lang w:eastAsia="it-IT"/>
        </w:rPr>
        <w:t xml:space="preserve">, </w:t>
      </w:r>
      <w:r w:rsidR="00B32D56" w:rsidRPr="00B32D56">
        <w:rPr>
          <w:rFonts w:eastAsia="Times New Roman"/>
          <w:kern w:val="0"/>
          <w:sz w:val="22"/>
          <w:lang w:eastAsia="it-IT"/>
        </w:rPr>
        <w:t>riferita al tempo parziale di 20 ore settimanali (50% del tempo pieno)</w:t>
      </w:r>
      <w:r w:rsidR="00B32D56">
        <w:rPr>
          <w:rFonts w:eastAsia="Times New Roman"/>
          <w:kern w:val="0"/>
          <w:sz w:val="22"/>
          <w:lang w:eastAsia="it-IT"/>
        </w:rPr>
        <w:t>,</w:t>
      </w:r>
      <w:r>
        <w:rPr>
          <w:rFonts w:eastAsia="Times New Roman"/>
          <w:kern w:val="0"/>
          <w:sz w:val="22"/>
          <w:lang w:eastAsia="it-IT"/>
        </w:rPr>
        <w:t xml:space="preserve"> è pari a € 11.669,23</w:t>
      </w:r>
      <w:r w:rsidR="00B32D56" w:rsidRPr="00B32D56">
        <w:rPr>
          <w:rFonts w:eastAsia="Times New Roman"/>
          <w:kern w:val="0"/>
          <w:sz w:val="22"/>
          <w:lang w:eastAsia="it-IT"/>
        </w:rPr>
        <w:t xml:space="preserve"> </w:t>
      </w:r>
      <w:r w:rsidR="00B32D56">
        <w:rPr>
          <w:rFonts w:eastAsia="Times New Roman"/>
          <w:kern w:val="0"/>
          <w:sz w:val="22"/>
          <w:lang w:eastAsia="it-IT"/>
        </w:rPr>
        <w:t>su 14 mensilit</w:t>
      </w:r>
      <w:r w:rsidR="00B32D56">
        <w:rPr>
          <w:rFonts w:eastAsia="Times New Roman"/>
          <w:kern w:val="0"/>
          <w:sz w:val="22"/>
          <w:lang w:eastAsia="it-IT"/>
        </w:rPr>
        <w:t>à</w:t>
      </w:r>
      <w:r>
        <w:rPr>
          <w:rFonts w:eastAsia="Times New Roman"/>
          <w:kern w:val="0"/>
          <w:sz w:val="22"/>
          <w:lang w:eastAsia="it-IT"/>
        </w:rPr>
        <w:t>.</w:t>
      </w:r>
    </w:p>
    <w:p w14:paraId="265CBBE7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L'orario di lavoro è di 20 ore settimanali, articolate di norma dal lunedì al venerdì; l'articolazione definitiva è concordata con la Società in base alle esigenze del servizio.</w:t>
      </w:r>
    </w:p>
    <w:p w14:paraId="4EA1456A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L'assunzione è soggetta a un periodo di prova di 45 giorni di calendario, come previsto dall'art. 7 del CCNL Federfarma per il terzo livello.</w:t>
      </w:r>
    </w:p>
    <w:p w14:paraId="1BF0E2B4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0335DC26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4 – Requisiti di ammissione</w:t>
      </w:r>
    </w:p>
    <w:p w14:paraId="444B5F97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Per l'ammissione sono richiesti, alla data di scadenza del termine di presentazione delle domande, i seguenti requisiti generali:</w:t>
      </w:r>
    </w:p>
    <w:p w14:paraId="1A9F1022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lastRenderedPageBreak/>
        <w:t>cittadinanza italiana o di uno Stato membro dell'Unione europea, o una delle condizioni di cui all'art. 38 del D.Lgs. n. 165/2001, con adeguata conoscenza della lingua italiana;</w:t>
      </w:r>
    </w:p>
    <w:p w14:paraId="633A9E86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età non inferiore a 18 anni e godimento dei diritti civili e politici;</w:t>
      </w:r>
    </w:p>
    <w:p w14:paraId="5AE06108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idoneità fisica all'impiego e alle mansioni;</w:t>
      </w:r>
    </w:p>
    <w:p w14:paraId="6CF74E63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assenza di condanne penali o di procedimenti penali in corso che impediscano la costituzione di un rapporto di lavoro con soggetti pubblici o a controllo pubblico;</w:t>
      </w:r>
    </w:p>
    <w:p w14:paraId="66872E0A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non essere stati destituiti, dispensati o licenziati da una pubblica amministrazione o da una società a controllo pubblico per insufficiente rendimento o per motivi disciplinari;</w:t>
      </w:r>
    </w:p>
    <w:p w14:paraId="6AFE1C0F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per i candidati di sesso maschile nati entro il 31/12/1985, posizione regolare nei confronti degli obblighi di leva.</w:t>
      </w:r>
    </w:p>
    <w:p w14:paraId="318750E7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È inoltre richiesto il possesso di uno dei seguenti titoli di studio:</w:t>
      </w:r>
    </w:p>
    <w:p w14:paraId="2F3785A9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a) uno dei seguenti diplomi di maturità quinquennali a indirizzo tecnico-commerciale o professionale per il commercio:</w:t>
      </w:r>
    </w:p>
    <w:p w14:paraId="000F72C6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di Ragioniere e perito commerciale;</w:t>
      </w:r>
    </w:p>
    <w:p w14:paraId="6BB2C941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di Ragioniere perito commerciale e programmatore;</w:t>
      </w:r>
    </w:p>
    <w:p w14:paraId="44DFACB7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di Perito aziendale e corrispondente in lingue estere;</w:t>
      </w:r>
    </w:p>
    <w:p w14:paraId="53F1B189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professionale di Analista contabile;</w:t>
      </w:r>
    </w:p>
    <w:p w14:paraId="7A34B26D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professionale di Operatore commerciale;</w:t>
      </w:r>
    </w:p>
    <w:p w14:paraId="52AE01BF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professionale di Tecnico della gestione aziendale;</w:t>
      </w:r>
    </w:p>
    <w:p w14:paraId="7885E9DB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professionale di Segretario d'amministrazione;</w:t>
      </w:r>
    </w:p>
    <w:p w14:paraId="17E59B22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istruzione professionale, indirizzo "Servizi commerciali", di cui al D.P.R. n. 87/2010 e al D.Lgs. n. 61/2017;</w:t>
      </w:r>
    </w:p>
    <w:p w14:paraId="44695EDC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Diploma di maturità tecnica ad indirizzo commerciale e/o economico-aziendale, ivi compreso il diploma di istituto tecnico, settore economico, indirizzo "</w:t>
      </w:r>
      <w:r w:rsidRPr="004C2BCD">
        <w:rPr>
          <w:rFonts w:eastAsia="Times New Roman"/>
          <w:i/>
          <w:iCs/>
          <w:kern w:val="0"/>
          <w:sz w:val="22"/>
          <w:lang w:eastAsia="it-IT"/>
        </w:rPr>
        <w:t>Amministrazione, Finanza e Marketing</w:t>
      </w:r>
      <w:r>
        <w:rPr>
          <w:rFonts w:eastAsia="Times New Roman"/>
          <w:kern w:val="0"/>
          <w:sz w:val="22"/>
          <w:lang w:eastAsia="it-IT"/>
        </w:rPr>
        <w:t>" di cui al D.P.R. n. 88/2010;</w:t>
      </w:r>
    </w:p>
    <w:p w14:paraId="1968F1C5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b) in alternativa, altro diploma di maturità unitamente a uno dei seguenti titoli, il cui percorso di studio comprende le materie specialistiche dei diplomi di cui alla lettera a) e che pertanto sono da considerarsi assorbenti rispetto agli stessi: diploma di laurea in Economia e Commercio, in Economia Aziendale o laurea ad indirizzo economico-aziendale (vecchio ordinamento), ovvero Laurea Specialistica o Laurea Magistrale (D.M. n. 509/1999 e D.M. n. 270/2004) equiparata a tali diplomi di laurea ai sensi del Decreto Interministeriale 9 luglio 2009, ovvero Laurea triennale in materie economiche, appartenente alle classi 17 (Scienze dell'economia e della gestione aziendale) o 28 (Scienze economiche) di cui al D.M. n. 509/1999, ovvero alle classi L-18 (Scienze dell'economia e della gestione aziendale) o L-33 (Scienze economiche) di cui al D.M. n. 270/2004, ovvero altro titolo dichiarato equipollente da apposito provvedimento normativo.</w:t>
      </w:r>
    </w:p>
    <w:p w14:paraId="6A0FCFDB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I titoli conseguiti all'estero sono ammessi se riconosciuti equipollenti o equivalenti ai sensi della normativa vigente. </w:t>
      </w:r>
      <w:r w:rsidRPr="004C2BCD">
        <w:rPr>
          <w:rFonts w:eastAsia="Times New Roman"/>
          <w:kern w:val="0"/>
          <w:sz w:val="22"/>
          <w:u w:val="single"/>
          <w:lang w:eastAsia="it-IT"/>
        </w:rPr>
        <w:t>La mancanza anche di uno solo dei requisiti comporta l'esclusione dalla selezione</w:t>
      </w:r>
      <w:r>
        <w:rPr>
          <w:rFonts w:eastAsia="Times New Roman"/>
          <w:kern w:val="0"/>
          <w:sz w:val="22"/>
          <w:lang w:eastAsia="it-IT"/>
        </w:rPr>
        <w:t>.</w:t>
      </w:r>
    </w:p>
    <w:p w14:paraId="7BA5F4B9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8AA5A30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5 – Domanda di partecipazione</w:t>
      </w:r>
    </w:p>
    <w:p w14:paraId="2A52BC61" w14:textId="25EBDC2C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La domanda, redatta utilizzando il modulo allegato (</w:t>
      </w:r>
      <w:r w:rsidRPr="004C2BCD">
        <w:rPr>
          <w:rFonts w:eastAsia="Times New Roman"/>
          <w:b/>
          <w:bCs/>
          <w:kern w:val="0"/>
          <w:sz w:val="22"/>
          <w:lang w:eastAsia="it-IT"/>
        </w:rPr>
        <w:t>Allegato B</w:t>
      </w:r>
      <w:r>
        <w:rPr>
          <w:rFonts w:eastAsia="Times New Roman"/>
          <w:kern w:val="0"/>
          <w:sz w:val="22"/>
          <w:lang w:eastAsia="it-IT"/>
        </w:rPr>
        <w:t xml:space="preserve">) </w:t>
      </w:r>
      <w:r w:rsidRPr="004C2BCD">
        <w:rPr>
          <w:rFonts w:eastAsia="Times New Roman"/>
          <w:kern w:val="0"/>
          <w:sz w:val="22"/>
          <w:u w:val="single"/>
          <w:lang w:eastAsia="it-IT"/>
        </w:rPr>
        <w:t>e sottoscritta dal candidato</w:t>
      </w:r>
      <w:r>
        <w:rPr>
          <w:rFonts w:eastAsia="Times New Roman"/>
          <w:kern w:val="0"/>
          <w:sz w:val="22"/>
          <w:lang w:eastAsia="it-IT"/>
        </w:rPr>
        <w:t xml:space="preserve">, deve pervenire esclusivamente a mezzo posta elettronica certificata (PEC) all'indirizzo </w:t>
      </w:r>
      <w:hyperlink r:id="rId8" w:history="1">
        <w:r w:rsidR="004715FC">
          <w:rPr>
            <w:rStyle w:val="Collegamentoipertestuale"/>
            <w:rFonts w:eastAsia="Times New Roman"/>
            <w:kern w:val="0"/>
            <w:sz w:val="22"/>
            <w:lang w:eastAsia="it-IT"/>
          </w:rPr>
          <w:t>06840@pec.federfarma.it</w:t>
        </w:r>
      </w:hyperlink>
      <w:r>
        <w:rPr>
          <w:rFonts w:eastAsia="Times New Roman"/>
          <w:kern w:val="0"/>
          <w:sz w:val="22"/>
          <w:lang w:eastAsia="it-IT"/>
        </w:rPr>
        <w:t xml:space="preserve"> </w:t>
      </w:r>
      <w:r w:rsidRPr="004C2BCD">
        <w:rPr>
          <w:rFonts w:eastAsia="Times New Roman"/>
          <w:b/>
          <w:bCs/>
          <w:kern w:val="0"/>
          <w:sz w:val="22"/>
          <w:lang w:eastAsia="it-IT"/>
        </w:rPr>
        <w:t>entro le ore 12:00 del giorno 23/11/2026</w:t>
      </w:r>
      <w:r>
        <w:rPr>
          <w:rFonts w:eastAsia="Times New Roman"/>
          <w:kern w:val="0"/>
          <w:sz w:val="22"/>
          <w:lang w:eastAsia="it-IT"/>
        </w:rPr>
        <w:t>, con oggetto "</w:t>
      </w:r>
      <w:r w:rsidRPr="004C2BCD">
        <w:rPr>
          <w:rFonts w:eastAsia="Times New Roman"/>
          <w:i/>
          <w:iCs/>
          <w:kern w:val="0"/>
          <w:sz w:val="22"/>
          <w:lang w:eastAsia="it-IT"/>
        </w:rPr>
        <w:t>Selezione impiegato amministrativo – Cognome Nome</w:t>
      </w:r>
      <w:r>
        <w:rPr>
          <w:rFonts w:eastAsia="Times New Roman"/>
          <w:kern w:val="0"/>
          <w:sz w:val="22"/>
          <w:lang w:eastAsia="it-IT"/>
        </w:rPr>
        <w:t>". Non sono ammesse altre modalità di invio.</w:t>
      </w:r>
    </w:p>
    <w:p w14:paraId="4311A004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 w:rsidRPr="004C2BCD">
        <w:rPr>
          <w:rFonts w:eastAsia="Times New Roman"/>
          <w:kern w:val="0"/>
          <w:sz w:val="22"/>
          <w:u w:val="single"/>
          <w:lang w:eastAsia="it-IT"/>
        </w:rPr>
        <w:t>La domanda e gli allegati sono trasmessi in formato PDF, sottoscritti con firma digitale oppure con firma autografa scansionata unitamente a copia del documento di identità</w:t>
      </w:r>
      <w:r>
        <w:rPr>
          <w:rFonts w:eastAsia="Times New Roman"/>
          <w:kern w:val="0"/>
          <w:sz w:val="22"/>
          <w:lang w:eastAsia="it-IT"/>
        </w:rPr>
        <w:t>. Fa fede la data della ricevuta di avvenuta consegna rilasciata dal sistema PEC. Sono escluse le domande pervenute oltre il termine.</w:t>
      </w:r>
    </w:p>
    <w:p w14:paraId="16349DEF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Il codice identificativo riportato nella ricevuta di avvenuta consegna della PEC costituisce il numero identificativo della domanda. Il candidato è tenuto a conservarlo, in quanto tale codice è utilizzato, </w:t>
      </w:r>
      <w:r>
        <w:rPr>
          <w:rFonts w:eastAsia="Times New Roman"/>
          <w:kern w:val="0"/>
          <w:sz w:val="22"/>
          <w:lang w:eastAsia="it-IT"/>
        </w:rPr>
        <w:lastRenderedPageBreak/>
        <w:t>in luogo del nominativo, per la pubblicazione dell'elenco degli ammessi, degli esiti del colloquio e della graduatoria.</w:t>
      </w:r>
    </w:p>
    <w:p w14:paraId="7B9BA38D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Alla domanda vanno allegati:</w:t>
      </w:r>
    </w:p>
    <w:p w14:paraId="1CDE4E3D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copia di un documento di identità in corso di validità;</w:t>
      </w:r>
    </w:p>
    <w:p w14:paraId="176C30EF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curriculum vitae datato e sottoscritto, con l'indicazione puntuale delle esperienze lavorative (datore di lavoro, mansioni, date di inizio e fine, orario settimanale), dei titoli di studio e dei corsi di formazione.</w:t>
      </w:r>
    </w:p>
    <w:p w14:paraId="2C9E1233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La partecipazione non è soggetta al pagamento di alcuna tassa di selezione. I candidati con disabilità indicano nella domanda l'ausilio necessario e l'eventuale necessità di tempi aggiuntivi per il colloquio. L'informativa sul trattamento dei dati personali è riportata nell'</w:t>
      </w:r>
      <w:r w:rsidRPr="004C2BCD">
        <w:rPr>
          <w:rFonts w:eastAsia="Times New Roman"/>
          <w:b/>
          <w:bCs/>
          <w:kern w:val="0"/>
          <w:sz w:val="22"/>
          <w:lang w:eastAsia="it-IT"/>
        </w:rPr>
        <w:t>Allegato C</w:t>
      </w:r>
      <w:r>
        <w:rPr>
          <w:rFonts w:eastAsia="Times New Roman"/>
          <w:kern w:val="0"/>
          <w:sz w:val="22"/>
          <w:lang w:eastAsia="it-IT"/>
        </w:rPr>
        <w:t>.</w:t>
      </w:r>
    </w:p>
    <w:p w14:paraId="472CEC0B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16840B5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6 – Commissione esaminatrice</w:t>
      </w:r>
    </w:p>
    <w:p w14:paraId="37872A02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Ai sensi dell'art. 2 della Procedura per il reclutamento del personale, la selezione è svolta da una Commissione imparziale, adeguata al profilo richiesto, nominata con determinazione dell'Amministratore Unico dopo la scadenza del termine di presentazione delle domande.</w:t>
      </w:r>
    </w:p>
    <w:p w14:paraId="576368CA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Non possono far parte della Commissione coloro che si trovano nelle condizioni di cui all'art. 35-bis del D.Lgs. n. 165/2001 o in situazioni di conflitto di interessi con i candidati, né i componenti di organi politici o rappresentanti sindacali. Nella composizione della Commissione è assicurato, ove possibile, l'equilibrio di genere.</w:t>
      </w:r>
    </w:p>
    <w:p w14:paraId="1BB7F3F6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B16F164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7 – Valutazione e punteggi</w:t>
      </w:r>
    </w:p>
    <w:p w14:paraId="3A377F0B" w14:textId="35A8EEA8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Ai sensi dell'art. 3 della Procedura per il reclutamento del personale, la Commissione dispone complessivamente di 100 punti, di cui 10 riservati al voto di laurea. Poiché per l'ammissione è sufficiente il diploma di maturità e il voto di laurea non è quindi valutabile per tutti i candidati, al fine di garantire parità di trattamento i 10 punti ad esso riservati sono riparametrati in proporzione sulle altre due voci, che risultano così ripartite:</w:t>
      </w:r>
    </w:p>
    <w:p w14:paraId="7E118A41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colloquio tecnico-motivazionale: fino a 67 punti;</w:t>
      </w:r>
    </w:p>
    <w:p w14:paraId="01F1E7D6" w14:textId="77777777" w:rsidR="00401403" w:rsidRDefault="003F6B1D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curriculum vitae: fino a 33 punti.</w:t>
      </w:r>
    </w:p>
    <w:p w14:paraId="205585E9" w14:textId="77777777" w:rsidR="007D1D3A" w:rsidRDefault="007D1D3A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3857B8E9" w14:textId="2AB5F0F9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La Commissione valuta il curriculum nel suo complesso, con riferimento all'esperienza lavorativa in mansioni amministrative e contabili, maturata indifferentemente presso soggetti pubblici o privati (pubbliche amministrazioni, società, studi professionali, farmacie), e agli ulteriori titoli e alla formazione attinenti al profilo. Ai sensi dell'art. 3 della Procedura, i criteri di dettaglio per l'attribuzione del punteggio sono stabiliti dalla Commissione nella prima seduta, prima dell'esame delle domande, e riportati a verbale. La valutazione del curriculum è effettuata prima del colloquio.</w:t>
      </w:r>
    </w:p>
    <w:p w14:paraId="41742A50" w14:textId="77777777" w:rsidR="007D1D3A" w:rsidRDefault="007D1D3A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185D9705" w14:textId="2FAEA54E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Il colloquio è volto a verificare le conoscenze del candidato in materia di contabilità e gestione amministrativa, </w:t>
      </w:r>
      <w:r w:rsidR="007D1D3A">
        <w:rPr>
          <w:rFonts w:eastAsia="Times New Roman"/>
          <w:kern w:val="0"/>
          <w:sz w:val="22"/>
          <w:lang w:eastAsia="it-IT"/>
        </w:rPr>
        <w:t>le nozioni</w:t>
      </w:r>
      <w:r>
        <w:rPr>
          <w:rFonts w:eastAsia="Times New Roman"/>
          <w:kern w:val="0"/>
          <w:sz w:val="22"/>
          <w:lang w:eastAsia="it-IT"/>
        </w:rPr>
        <w:t xml:space="preserve"> </w:t>
      </w:r>
      <w:r w:rsidR="007D1D3A">
        <w:rPr>
          <w:rFonts w:eastAsia="Times New Roman"/>
          <w:kern w:val="0"/>
          <w:sz w:val="22"/>
          <w:lang w:eastAsia="it-IT"/>
        </w:rPr>
        <w:t>generali sugli</w:t>
      </w:r>
      <w:r>
        <w:rPr>
          <w:rFonts w:eastAsia="Times New Roman"/>
          <w:kern w:val="0"/>
          <w:sz w:val="22"/>
          <w:lang w:eastAsia="it-IT"/>
        </w:rPr>
        <w:t xml:space="preserve"> adempimenti di una società pubblica (trasparenza, acquisti, rapporti con il socio), l'uso dei principali strumenti informatici, nonché la motivazione e l'attitudine al ruolo.</w:t>
      </w:r>
    </w:p>
    <w:p w14:paraId="59775329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colloquio si intende superato con un punteggio di almeno 47/67, corrispondente a 21/30. Il calendario dei colloqui e l'elenco degli ammessi, indicati mediante il numero identificativo della domanda, sono pubblicati sul sito istituzionale della Società; la pubblicazione ha valore di notifica. La mancata presentazione al colloquio equivale a rinuncia.</w:t>
      </w:r>
    </w:p>
    <w:p w14:paraId="51BE3C83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0A2447A8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8 – Graduatoria e assunzione</w:t>
      </w:r>
    </w:p>
    <w:p w14:paraId="2CDDB83F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punteggio finale è dato dalla somma dei punteggi del curriculum vitae e del colloquio. Sono inseriti in graduatoria i soli candidati che hanno superato il colloquio. A parità di punteggio si applicano i titoli di preferenza di cui all'art. 5 del D.P.R. n. 487/1994, dichiarati nella domanda; in caso di ulteriore parità precede il candidato più giovane d'età.</w:t>
      </w:r>
    </w:p>
    <w:p w14:paraId="50F215EA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lastRenderedPageBreak/>
        <w:t>La graduatoria, indicata mediante il numero identificativo della domanda, è approvata con determinazione dell'Amministratore Unico e pubblicata sul sito istituzionale della Società. Ai sensi dell'art. 5 della Procedura, la graduatoria può essere utilizzata anche per assunzioni a tempo determinato.</w:t>
      </w:r>
    </w:p>
    <w:p w14:paraId="7928E075" w14:textId="69241950" w:rsidR="00247DE6" w:rsidRDefault="00247DE6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 w:rsidRPr="00247DE6">
        <w:rPr>
          <w:rFonts w:eastAsia="Times New Roman"/>
          <w:kern w:val="0"/>
          <w:sz w:val="22"/>
          <w:lang w:eastAsia="it-IT"/>
        </w:rPr>
        <w:t>Il candidato primo classificato deve dichiarare per iscritto l'accettazione dell'impiego entro 7 giorni dalla pubblicazione della graduatoria sul sito istituzionale della Società, a pena di decadenza.</w:t>
      </w:r>
    </w:p>
    <w:p w14:paraId="01328726" w14:textId="2B90206F" w:rsidR="00247DE6" w:rsidRDefault="00247DE6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 w:rsidRPr="00247DE6">
        <w:rPr>
          <w:rFonts w:eastAsia="Times New Roman"/>
          <w:kern w:val="0"/>
          <w:sz w:val="22"/>
          <w:lang w:eastAsia="it-IT"/>
        </w:rPr>
        <w:t>La comunicazione della proposta e la relativa accettazione o rinuncia possono essere formalizzate anche via e-mail, all'indirizzo PEC o e-mail indicato dal candidato nella domanda di partecipazione.</w:t>
      </w:r>
    </w:p>
    <w:p w14:paraId="723F815B" w14:textId="5CD1437F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vincitore è invitato a sottoscrivere il contratto individuale di lavoro ed è assunto in prova, previa verifica dei requisiti dichiarati. La Società si riserva di modificare, sospendere o revocare l'avviso, o di non procedere all'assunzione, per motivate ragioni di interesse pubblico o per vincoli normativi o finanziari sopravvenuti.</w:t>
      </w:r>
    </w:p>
    <w:p w14:paraId="0952679D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395DA6B6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9 – Trattamento dei dati personali</w:t>
      </w:r>
    </w:p>
    <w:p w14:paraId="58D16231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 dati personali forniti dai candidati sono trattati da Farma.Co. S.r.l. ai sensi del Regolamento (UE) 2016/679 secondo l'informativa allegata (</w:t>
      </w:r>
      <w:r w:rsidRPr="002F0D8E">
        <w:rPr>
          <w:rFonts w:eastAsia="Times New Roman"/>
          <w:b/>
          <w:bCs/>
          <w:kern w:val="0"/>
          <w:sz w:val="22"/>
          <w:lang w:eastAsia="it-IT"/>
        </w:rPr>
        <w:t>Allegato C</w:t>
      </w:r>
      <w:r>
        <w:rPr>
          <w:rFonts w:eastAsia="Times New Roman"/>
          <w:kern w:val="0"/>
          <w:sz w:val="22"/>
          <w:lang w:eastAsia="it-IT"/>
        </w:rPr>
        <w:t>).</w:t>
      </w:r>
    </w:p>
    <w:p w14:paraId="73B0D5FA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620DD267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Art. 10 – Responsabile del procedimento e pubblicità</w:t>
      </w:r>
    </w:p>
    <w:p w14:paraId="474D998D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Responsabile del procedimento è l'Amministratore Unico, Dott. Francesco Malavasi. Informazioni possono essere richieste all'indirizzo PEC 06840@pec.federfarma.it o ai numeri di telefono 0535 29689, 0535 29630 e 0535 29631.</w:t>
      </w:r>
    </w:p>
    <w:p w14:paraId="070891CA" w14:textId="77777777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 presente avviso è pubblicato per 20 giorni consecutivi nella sezione "</w:t>
      </w:r>
      <w:r w:rsidRPr="002F0D8E">
        <w:rPr>
          <w:rFonts w:eastAsia="Times New Roman"/>
          <w:i/>
          <w:iCs/>
          <w:kern w:val="0"/>
          <w:sz w:val="22"/>
          <w:lang w:eastAsia="it-IT"/>
        </w:rPr>
        <w:t>Società Trasparente – Selezione del personale</w:t>
      </w:r>
      <w:r>
        <w:rPr>
          <w:rFonts w:eastAsia="Times New Roman"/>
          <w:kern w:val="0"/>
          <w:sz w:val="22"/>
          <w:lang w:eastAsia="it-IT"/>
        </w:rPr>
        <w:t>" del sito istituzionale della Società e sul sito istituzionale del Comune di Mirandola.</w:t>
      </w:r>
    </w:p>
    <w:p w14:paraId="6ECDA482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6F4363B6" w14:textId="77777777" w:rsidR="002F0D8E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Allegati: </w:t>
      </w:r>
    </w:p>
    <w:p w14:paraId="69E51E24" w14:textId="77777777" w:rsidR="002F0D8E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B) Modulo di domanda; </w:t>
      </w:r>
    </w:p>
    <w:p w14:paraId="622CFCEB" w14:textId="07552E7D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C) Informativa sul trattamento dei dati personali.</w:t>
      </w:r>
    </w:p>
    <w:p w14:paraId="72EFC093" w14:textId="77777777" w:rsidR="00401403" w:rsidRDefault="00401403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2BBB53F" w14:textId="41B0AA6C" w:rsidR="00401403" w:rsidRDefault="003F6B1D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Mirandola, data della firma digitale</w:t>
      </w:r>
    </w:p>
    <w:tbl>
      <w:tblPr>
        <w:tblW w:w="5244" w:type="dxa"/>
        <w:tblInd w:w="4432" w:type="dxa"/>
        <w:tblLayout w:type="fixed"/>
        <w:tblCellMar>
          <w:left w:w="37" w:type="dxa"/>
          <w:right w:w="37" w:type="dxa"/>
        </w:tblCellMar>
        <w:tblLook w:val="0000" w:firstRow="0" w:lastRow="0" w:firstColumn="0" w:lastColumn="0" w:noHBand="0" w:noVBand="0"/>
      </w:tblPr>
      <w:tblGrid>
        <w:gridCol w:w="5244"/>
      </w:tblGrid>
      <w:tr w:rsidR="00401403" w14:paraId="77E91D2C" w14:textId="77777777">
        <w:tc>
          <w:tcPr>
            <w:tcW w:w="524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2516D1" w14:textId="77777777" w:rsidR="00401403" w:rsidRDefault="003F6B1D">
            <w:pPr>
              <w:pStyle w:val="Normale0"/>
              <w:tabs>
                <w:tab w:val="left" w:pos="708"/>
              </w:tabs>
              <w:spacing w:line="254" w:lineRule="auto"/>
              <w:jc w:val="center"/>
              <w:rPr>
                <w:b/>
                <w:bCs/>
                <w:kern w:val="2"/>
                <w:sz w:val="22"/>
                <w:szCs w:val="22"/>
              </w:rPr>
            </w:pPr>
            <w:r>
              <w:rPr>
                <w:rFonts w:eastAsia="Arial"/>
                <w:kern w:val="2"/>
                <w:sz w:val="22"/>
                <w:szCs w:val="22"/>
              </w:rPr>
              <w:t xml:space="preserve"> </w:t>
            </w:r>
            <w:r>
              <w:rPr>
                <w:kern w:val="2"/>
                <w:sz w:val="22"/>
                <w:szCs w:val="22"/>
              </w:rPr>
              <w:t xml:space="preserve">L’Amministratore Unico  </w:t>
            </w:r>
          </w:p>
        </w:tc>
      </w:tr>
      <w:tr w:rsidR="00401403" w14:paraId="3EC28E49" w14:textId="77777777">
        <w:tc>
          <w:tcPr>
            <w:tcW w:w="524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112B9A" w14:textId="77777777" w:rsidR="00401403" w:rsidRDefault="003F6B1D">
            <w:pPr>
              <w:pStyle w:val="Normale0"/>
              <w:tabs>
                <w:tab w:val="left" w:pos="708"/>
              </w:tabs>
              <w:spacing w:line="254" w:lineRule="auto"/>
              <w:jc w:val="center"/>
            </w:pPr>
            <w:r>
              <w:rPr>
                <w:rFonts w:eastAsia="Arial"/>
                <w:kern w:val="2"/>
                <w:sz w:val="22"/>
                <w:szCs w:val="22"/>
              </w:rPr>
              <w:t xml:space="preserve"> </w:t>
            </w:r>
            <w:r>
              <w:rPr>
                <w:kern w:val="2"/>
                <w:sz w:val="22"/>
                <w:szCs w:val="22"/>
              </w:rPr>
              <w:t xml:space="preserve">Dott. Francesco Malavasi </w:t>
            </w:r>
          </w:p>
        </w:tc>
      </w:tr>
    </w:tbl>
    <w:p w14:paraId="48D94A1B" w14:textId="77777777" w:rsidR="00401403" w:rsidRDefault="00401403"/>
    <w:sectPr w:rsidR="00401403">
      <w:headerReference w:type="default" r:id="rId9"/>
      <w:footerReference w:type="default" r:id="rId10"/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B4EAC" w14:textId="77777777" w:rsidR="00A67246" w:rsidRDefault="00A67246">
      <w:pPr>
        <w:spacing w:line="240" w:lineRule="auto"/>
      </w:pPr>
      <w:r>
        <w:separator/>
      </w:r>
    </w:p>
  </w:endnote>
  <w:endnote w:type="continuationSeparator" w:id="0">
    <w:p w14:paraId="121811CE" w14:textId="77777777" w:rsidR="00A67246" w:rsidRDefault="00A672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Zen Hei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E72D" w14:textId="77777777" w:rsidR="00401403" w:rsidRDefault="004014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8F312" w14:textId="77777777" w:rsidR="00A67246" w:rsidRDefault="00A67246">
      <w:pPr>
        <w:spacing w:line="240" w:lineRule="auto"/>
      </w:pPr>
      <w:r>
        <w:separator/>
      </w:r>
    </w:p>
  </w:footnote>
  <w:footnote w:type="continuationSeparator" w:id="0">
    <w:p w14:paraId="7FA08FE0" w14:textId="77777777" w:rsidR="00A67246" w:rsidRDefault="00A672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458B" w14:textId="77777777" w:rsidR="00401403" w:rsidRDefault="004014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52CDF"/>
    <w:multiLevelType w:val="multilevel"/>
    <w:tmpl w:val="AFE6768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 Light" w:hAnsi="Calibri Light" w:cs="Calibri Light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FD6D1D"/>
    <w:multiLevelType w:val="multilevel"/>
    <w:tmpl w:val="8F5AFD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9940FB"/>
    <w:multiLevelType w:val="multilevel"/>
    <w:tmpl w:val="62A0FD06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AE50F0"/>
    <w:multiLevelType w:val="multilevel"/>
    <w:tmpl w:val="B8E6E5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5066480">
    <w:abstractNumId w:val="0"/>
  </w:num>
  <w:num w:numId="2" w16cid:durableId="1180120506">
    <w:abstractNumId w:val="2"/>
  </w:num>
  <w:num w:numId="3" w16cid:durableId="711658809">
    <w:abstractNumId w:val="1"/>
  </w:num>
  <w:num w:numId="4" w16cid:durableId="945886837">
    <w:abstractNumId w:val="3"/>
  </w:num>
  <w:num w:numId="5" w16cid:durableId="174170608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Moves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1403"/>
    <w:rsid w:val="00233036"/>
    <w:rsid w:val="0024570F"/>
    <w:rsid w:val="00247DE6"/>
    <w:rsid w:val="002F0D8E"/>
    <w:rsid w:val="003F6B1D"/>
    <w:rsid w:val="00401403"/>
    <w:rsid w:val="004715FC"/>
    <w:rsid w:val="004C2BCD"/>
    <w:rsid w:val="005C10DE"/>
    <w:rsid w:val="00666566"/>
    <w:rsid w:val="007D1D3A"/>
    <w:rsid w:val="00910CE5"/>
    <w:rsid w:val="00A67246"/>
    <w:rsid w:val="00B3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7B488"/>
  <w15:docId w15:val="{CBB194D2-44DC-4D00-916A-457FCC65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Zen Hei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256" w:lineRule="auto"/>
    </w:pPr>
    <w:rPr>
      <w:rFonts w:ascii="Arial" w:eastAsia="Calibri" w:hAnsi="Arial" w:cs="Arial"/>
      <w:kern w:val="2"/>
      <w:sz w:val="24"/>
      <w:szCs w:val="22"/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 Light" w:eastAsia="Times New Roman" w:hAnsi="Calibri Light" w:cs="Calibri Light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alibri Light" w:eastAsia="Times New Roman" w:hAnsi="Calibri Light" w:cs="Calibri Light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Calibri Light" w:eastAsia="Times New Roman" w:hAnsi="Calibri Light" w:cs="Calibri Light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Calibri Light" w:eastAsia="Times New Roman" w:hAnsi="Calibri Light" w:cs="Calibri Light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Calibri Light" w:eastAsia="Times New Roman" w:hAnsi="Calibri Light" w:cs="Calibri Light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styleId="Enfasigrassetto">
    <w:name w:val="Strong"/>
    <w:qFormat/>
    <w:rPr>
      <w:b/>
      <w:bCs/>
    </w:rPr>
  </w:style>
  <w:style w:type="character" w:customStyle="1" w:styleId="citation-57">
    <w:name w:val="citation-57"/>
    <w:basedOn w:val="Carpredefinitoparagrafo"/>
    <w:qFormat/>
  </w:style>
  <w:style w:type="character" w:customStyle="1" w:styleId="citation-129">
    <w:name w:val="citation-129"/>
    <w:basedOn w:val="Carpredefinitoparagrafo"/>
    <w:qFormat/>
  </w:style>
  <w:style w:type="character" w:customStyle="1" w:styleId="citation-120">
    <w:name w:val="citation-120"/>
    <w:basedOn w:val="Carpredefinitoparagrafo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WenQuanYi Zen Hei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Normal">
    <w:name w:val="[Normal]"/>
    <w:qFormat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Normale0">
    <w:name w:val="[Normale]"/>
    <w:basedOn w:val="Normal"/>
    <w:qFormat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styleId="Collegamentoipertestuale">
    <w:name w:val="Hyperlink"/>
    <w:uiPriority w:val="99"/>
    <w:unhideWhenUsed/>
    <w:rsid w:val="004C2BCD"/>
    <w:rPr>
      <w:color w:val="0000EE"/>
      <w:u w:val="single"/>
    </w:rPr>
  </w:style>
  <w:style w:type="character" w:styleId="Menzionenonrisolta">
    <w:name w:val="Unresolved Mention"/>
    <w:uiPriority w:val="99"/>
    <w:semiHidden/>
    <w:unhideWhenUsed/>
    <w:rsid w:val="004C2BCD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4715FC"/>
    <w:rPr>
      <w:color w:val="551A8B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6840@pec.federfarm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Belloni</cp:lastModifiedBy>
  <cp:revision>7</cp:revision>
  <cp:lastPrinted>2026-11-04T08:30:00Z</cp:lastPrinted>
  <dcterms:created xsi:type="dcterms:W3CDTF">2026-11-04T08:17:00Z</dcterms:created>
  <dcterms:modified xsi:type="dcterms:W3CDTF">2026-11-04T14:23:00Z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2025-12-17T15:33:00Z</dcterms:created>
  <dc:creator>Davide Magrini</dc:creator>
  <dc:description/>
  <cp:keywords/>
  <dc:language>en-US</dc:language>
  <cp:lastModifiedBy>Alessandro Belloni</cp:lastModifiedBy>
  <dcterms:modified xsi:type="dcterms:W3CDTF">2026-07-31T09:56:00Z</dcterms:modified>
  <cp:revision>25</cp:revision>
  <dc:subject/>
  <dc:title/>
</cp:coreProperties>
</file>